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sz w:val="16"/>
          <w:szCs w:val="16"/>
        </w:rPr>
      </w:pPr>
      <w:r>
        <w:rPr>
          <w:sz w:val="16"/>
          <w:szCs w:val="16"/>
        </w:rPr>
        <w:t>……………………</w:t>
      </w:r>
      <w:r>
        <w:rPr>
          <w:sz w:val="16"/>
          <w:szCs w:val="16"/>
        </w:rPr>
        <w:t xml:space="preserve">.    </w:t>
        <w:tab/>
        <w:tab/>
        <w:tab/>
        <w:tab/>
        <w:tab/>
        <w:tab/>
        <w:tab/>
        <w:tab/>
        <w:tab/>
        <w:t xml:space="preserve">      Miejscowość, data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sz w:val="16"/>
          <w:szCs w:val="16"/>
        </w:rPr>
      </w:pPr>
      <w:r>
        <w:rPr>
          <w:sz w:val="16"/>
          <w:szCs w:val="16"/>
        </w:rPr>
        <w:t>pieczęć Wykonawcy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</w:t>
      </w:r>
      <w:r>
        <w:rPr>
          <w:sz w:val="16"/>
          <w:szCs w:val="16"/>
        </w:rPr>
        <w:t>FORMULARZ OFERTOWO-CENOWY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jc w:val="center"/>
        <w:rPr>
          <w:sz w:val="16"/>
          <w:szCs w:val="16"/>
        </w:rPr>
      </w:pPr>
      <w:r>
        <w:rPr>
          <w:sz w:val="16"/>
          <w:szCs w:val="16"/>
        </w:rPr>
        <w:t>„</w:t>
      </w:r>
      <w:r>
        <w:rPr>
          <w:sz w:val="16"/>
          <w:szCs w:val="16"/>
        </w:rPr>
        <w:t>Sukcesywna dostawa wyrobów medycznych tj. pieluchomajtek, majtek i wkładów anatomicznych dla mieszkańców Domu Pomocy Społecznej”Nasz Dom w Mojęcicach ”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sz w:val="20"/>
          <w:szCs w:val="20"/>
        </w:rPr>
      </w:pPr>
      <w:r>
        <w:rPr>
          <w:sz w:val="20"/>
          <w:szCs w:val="20"/>
        </w:rPr>
        <w:t>załącznik 1</w:t>
      </w:r>
    </w:p>
    <w:tbl>
      <w:tblPr>
        <w:tblW w:w="11564" w:type="dxa"/>
        <w:jc w:val="left"/>
        <w:tblInd w:w="-96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1" w:noVBand="1" w:lastRow="0" w:firstColumn="1" w:lastColumn="0" w:noHBand="0" w:val="04a0"/>
      </w:tblPr>
      <w:tblGrid>
        <w:gridCol w:w="284"/>
        <w:gridCol w:w="2151"/>
        <w:gridCol w:w="629"/>
        <w:gridCol w:w="786"/>
        <w:gridCol w:w="456"/>
        <w:gridCol w:w="509"/>
        <w:gridCol w:w="518"/>
        <w:gridCol w:w="510"/>
        <w:gridCol w:w="509"/>
        <w:gridCol w:w="508"/>
        <w:gridCol w:w="509"/>
        <w:gridCol w:w="510"/>
        <w:gridCol w:w="509"/>
        <w:gridCol w:w="510"/>
        <w:gridCol w:w="564"/>
        <w:gridCol w:w="575"/>
        <w:gridCol w:w="564"/>
        <w:gridCol w:w="456"/>
        <w:gridCol w:w="506"/>
      </w:tblGrid>
      <w:tr>
        <w:trPr>
          <w:trHeight w:val="794" w:hRule="atLeast"/>
        </w:trPr>
        <w:tc>
          <w:tcPr>
            <w:tcW w:w="2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57" w:after="57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  <w:p>
            <w:pPr>
              <w:pStyle w:val="Zawartotabeli"/>
              <w:widowControl w:val="false"/>
              <w:spacing w:before="57" w:after="57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Lp</w:t>
            </w:r>
          </w:p>
        </w:tc>
        <w:tc>
          <w:tcPr>
            <w:tcW w:w="21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57" w:after="57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  <w:p>
            <w:pPr>
              <w:pStyle w:val="Zawartotabeli"/>
              <w:widowControl w:val="false"/>
              <w:spacing w:before="57" w:after="57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Nazwa produktu</w:t>
            </w:r>
          </w:p>
        </w:tc>
        <w:tc>
          <w:tcPr>
            <w:tcW w:w="62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57" w:after="57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  <w:p>
            <w:pPr>
              <w:pStyle w:val="Zawartotabeli"/>
              <w:widowControl w:val="false"/>
              <w:spacing w:before="57" w:after="57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Liczba sztuk w opak.</w:t>
            </w:r>
          </w:p>
        </w:tc>
        <w:tc>
          <w:tcPr>
            <w:tcW w:w="7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57" w:after="57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  <w:p>
            <w:pPr>
              <w:pStyle w:val="Zawartotabeli"/>
              <w:widowControl w:val="false"/>
              <w:spacing w:before="57" w:after="57"/>
              <w:jc w:val="center"/>
              <w:rPr>
                <w:sz w:val="14"/>
                <w:szCs w:val="14"/>
              </w:rPr>
            </w:pPr>
            <w:r>
              <w:rPr>
                <w:sz w:val="12"/>
                <w:szCs w:val="12"/>
              </w:rPr>
              <w:t xml:space="preserve">Szacunkowa ilość opakowań na </w:t>
            </w:r>
            <w:r>
              <w:rPr>
                <w:b/>
                <w:bCs/>
                <w:sz w:val="14"/>
                <w:szCs w:val="14"/>
              </w:rPr>
              <w:t>na rok 2026</w:t>
            </w:r>
          </w:p>
        </w:tc>
        <w:tc>
          <w:tcPr>
            <w:tcW w:w="250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57" w:after="57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Odpłatność mieszkańca</w:t>
            </w:r>
          </w:p>
          <w:p>
            <w:pPr>
              <w:pStyle w:val="Zawartotabeli"/>
              <w:widowControl w:val="false"/>
              <w:spacing w:before="57" w:after="57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/ po uwzglednieniu dofinansowania z nfz/</w:t>
            </w:r>
          </w:p>
        </w:tc>
        <w:tc>
          <w:tcPr>
            <w:tcW w:w="254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57" w:after="57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Odpłatność DPS</w:t>
            </w:r>
          </w:p>
          <w:p>
            <w:pPr>
              <w:pStyle w:val="Zawartotabeli"/>
              <w:widowControl w:val="false"/>
              <w:spacing w:before="57" w:after="57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/powyżej limitu/</w:t>
            </w:r>
          </w:p>
        </w:tc>
        <w:tc>
          <w:tcPr>
            <w:tcW w:w="56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399" w:after="399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Razem wartość netto</w:t>
            </w:r>
          </w:p>
        </w:tc>
        <w:tc>
          <w:tcPr>
            <w:tcW w:w="57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399" w:after="399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Wartość VAT</w:t>
            </w:r>
          </w:p>
        </w:tc>
        <w:tc>
          <w:tcPr>
            <w:tcW w:w="56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399" w:after="399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Razem wartość brutto</w:t>
            </w:r>
          </w:p>
        </w:tc>
        <w:tc>
          <w:tcPr>
            <w:tcW w:w="9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spacing w:before="228" w:after="228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UWAGI</w:t>
            </w:r>
          </w:p>
        </w:tc>
      </w:tr>
      <w:tr>
        <w:trPr>
          <w:trHeight w:val="512" w:hRule="atLeast"/>
        </w:trPr>
        <w:tc>
          <w:tcPr>
            <w:tcW w:w="28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2151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629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786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Cena Jedn. Netto</w:t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Stawka VAT %</w:t>
            </w: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Cena Jedn. brutto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Wartość netto</w:t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Wartość brutto</w:t>
            </w: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Cena Jedn. Netto</w:t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Stawka VAT %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Cena Jedn. brutto</w:t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Wartość netto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Wartość brutto</w:t>
            </w:r>
          </w:p>
        </w:tc>
        <w:tc>
          <w:tcPr>
            <w:tcW w:w="56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575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56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57" w:after="57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Cena brutto 100%</w:t>
            </w: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spacing w:before="57" w:after="57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Wartość brutto 100%</w:t>
            </w:r>
          </w:p>
        </w:tc>
      </w:tr>
      <w:tr>
        <w:trPr/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</w:t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</w:t>
            </w: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</w:t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</w:t>
            </w: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</w:t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h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</w:t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j</w:t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k</w:t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l=e+j</w:t>
            </w: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ł</w:t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m=f+k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za op.</w:t>
            </w: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</w:tr>
      <w:tr>
        <w:trPr/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Pieluchomajtki </w:t>
            </w:r>
            <w:r>
              <w:rPr>
                <w:b/>
                <w:bCs/>
                <w:sz w:val="12"/>
                <w:szCs w:val="12"/>
              </w:rPr>
              <w:t>SuperSeni</w:t>
            </w:r>
            <w:r>
              <w:rPr>
                <w:sz w:val="12"/>
                <w:szCs w:val="12"/>
              </w:rPr>
              <w:t xml:space="preserve"> lub produkt równoważny </w:t>
            </w:r>
            <w:r>
              <w:rPr>
                <w:b/>
                <w:bCs/>
                <w:sz w:val="12"/>
                <w:szCs w:val="12"/>
              </w:rPr>
              <w:t>rozmiar M</w:t>
            </w:r>
            <w:r>
              <w:rPr>
                <w:sz w:val="12"/>
                <w:szCs w:val="12"/>
              </w:rPr>
              <w:t>, obwód talii i bioder:75-110 pieluchomajtki oddychające, pochłaniające nieprzyjemny zapach, dla osób ze średnim nietrzymaniem moczu, zapinane na rzepy</w:t>
            </w: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96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</w:tr>
      <w:tr>
        <w:trPr/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Pieluchomajtki </w:t>
            </w:r>
            <w:r>
              <w:rPr>
                <w:b/>
                <w:bCs/>
                <w:sz w:val="12"/>
                <w:szCs w:val="12"/>
              </w:rPr>
              <w:t>SuperSeni</w:t>
            </w:r>
            <w:r>
              <w:rPr>
                <w:sz w:val="12"/>
                <w:szCs w:val="12"/>
              </w:rPr>
              <w:t xml:space="preserve"> lub produkt równoważny </w:t>
            </w:r>
            <w:r>
              <w:rPr>
                <w:b/>
                <w:bCs/>
                <w:sz w:val="12"/>
                <w:szCs w:val="12"/>
              </w:rPr>
              <w:t>rozmiar L</w:t>
            </w:r>
            <w:r>
              <w:rPr>
                <w:sz w:val="12"/>
                <w:szCs w:val="12"/>
              </w:rPr>
              <w:t>, obwód talii i bioder:100-150 pieluchomajtki oddychające, pochłaniające nieprzyjemny zapach, dla osób ze średnim nietrzymaniem moczu, zapinane na rzepy</w:t>
            </w: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96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</w:tr>
      <w:tr>
        <w:trPr/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2"/>
                <w:szCs w:val="12"/>
              </w:rPr>
            </w:pPr>
            <w:r>
              <w:rPr>
                <w:rStyle w:val="Mocnewyrnione"/>
                <w:b w:val="false"/>
                <w:bCs w:val="false"/>
                <w:sz w:val="12"/>
                <w:szCs w:val="12"/>
              </w:rPr>
              <w:t>Pieluchomajtki</w:t>
            </w:r>
            <w:r>
              <w:rPr>
                <w:rStyle w:val="Mocnewyrnione"/>
                <w:sz w:val="12"/>
                <w:szCs w:val="12"/>
              </w:rPr>
              <w:t xml:space="preserve"> XL (Extra Large)</w:t>
            </w:r>
            <w:r>
              <w:rPr>
                <w:sz w:val="12"/>
                <w:szCs w:val="12"/>
              </w:rPr>
              <w:t xml:space="preserve"> to wyrób chłonny dedykowany osobom o obwodzie talii i bioder od 130 do 170 centymetrów. </w:t>
            </w: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36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</w:tr>
      <w:tr>
        <w:trPr/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Pieluchomajtki "nocne" </w:t>
            </w:r>
            <w:r>
              <w:rPr>
                <w:b/>
                <w:bCs/>
                <w:sz w:val="12"/>
                <w:szCs w:val="12"/>
              </w:rPr>
              <w:t>SuperSeni Plus</w:t>
            </w:r>
            <w:r>
              <w:rPr>
                <w:sz w:val="12"/>
                <w:szCs w:val="12"/>
              </w:rPr>
              <w:t xml:space="preserve"> lub produkt równoważny o powdyższonej chłonności, dla osób z cieżkim nietrzymaniem moczu, </w:t>
            </w:r>
            <w:r>
              <w:rPr>
                <w:b/>
                <w:bCs/>
                <w:sz w:val="12"/>
                <w:szCs w:val="12"/>
              </w:rPr>
              <w:t>rozmiar M</w:t>
            </w:r>
            <w:r>
              <w:rPr>
                <w:sz w:val="12"/>
                <w:szCs w:val="12"/>
              </w:rPr>
              <w:t>, obwód talii i bioder: 75-110- pieluchomajtki oddychające, pochłaniające nieprzyjemny zapach, zapinane na rzepy</w:t>
            </w: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48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</w:tr>
      <w:tr>
        <w:trPr/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Pieluchomajtki "nocne" </w:t>
            </w:r>
            <w:r>
              <w:rPr>
                <w:b/>
                <w:bCs/>
                <w:sz w:val="12"/>
                <w:szCs w:val="12"/>
              </w:rPr>
              <w:t>SuperSeni Plus</w:t>
            </w:r>
            <w:r>
              <w:rPr>
                <w:sz w:val="12"/>
                <w:szCs w:val="12"/>
              </w:rPr>
              <w:t xml:space="preserve"> lub produkt równoważny o powdyższonej chłonności, dla osób z cieżkim nietrzymaniem moczu, </w:t>
            </w:r>
            <w:r>
              <w:rPr>
                <w:b/>
                <w:bCs/>
                <w:sz w:val="12"/>
                <w:szCs w:val="12"/>
              </w:rPr>
              <w:t>rozmiar L</w:t>
            </w:r>
            <w:r>
              <w:rPr>
                <w:sz w:val="12"/>
                <w:szCs w:val="12"/>
              </w:rPr>
              <w:t>, obwód talii i bioder: 100-150- pieluchomajtki oddychające, pochłaniające nieprzyjemny zapach, zapinane na rzepy</w:t>
            </w: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60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</w:tr>
      <w:tr>
        <w:trPr/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Majtki chłonne </w:t>
            </w:r>
            <w:r>
              <w:rPr>
                <w:b/>
                <w:bCs/>
                <w:sz w:val="12"/>
                <w:szCs w:val="12"/>
              </w:rPr>
              <w:t>Seni active normal L</w:t>
            </w:r>
            <w:r>
              <w:rPr>
                <w:sz w:val="12"/>
                <w:szCs w:val="12"/>
              </w:rPr>
              <w:t xml:space="preserve"> lub produkt równoważny, bielizna chłonna, dla osób ze średnim nietrzymaniem moczu, obwód talli i bioder: 100-135</w:t>
            </w: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</w:tr>
      <w:tr>
        <w:trPr/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Majtki chłonne </w:t>
            </w:r>
            <w:r>
              <w:rPr>
                <w:b/>
                <w:bCs/>
                <w:sz w:val="12"/>
                <w:szCs w:val="12"/>
              </w:rPr>
              <w:t>Seni active normal M</w:t>
            </w:r>
            <w:r>
              <w:rPr>
                <w:sz w:val="12"/>
                <w:szCs w:val="12"/>
              </w:rPr>
              <w:t xml:space="preserve"> lub produkt równoważny, bielizna chłonna, dla osób ze średnim nietrzymaniem moczu, obwód talli i bioder: 80-110</w:t>
            </w: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</w:tr>
      <w:tr>
        <w:trPr/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Wkłady chłonne </w:t>
            </w:r>
            <w:r>
              <w:rPr>
                <w:b/>
                <w:bCs/>
                <w:sz w:val="12"/>
                <w:szCs w:val="12"/>
              </w:rPr>
              <w:t>Seni V Maxi</w:t>
            </w:r>
            <w:r>
              <w:rPr>
                <w:sz w:val="12"/>
                <w:szCs w:val="12"/>
              </w:rPr>
              <w:t xml:space="preserve"> lub produkt równoważny; dodatkowe zabezpeczenie do pieluchomajtek, przeznaczone dla osób ccewnikowanych, przy inkontynencji kałowej rozm. 37cm x 69cm</w:t>
            </w: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50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</w:tr>
      <w:tr>
        <w:trPr/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Wkłady chłonne </w:t>
            </w:r>
            <w:r>
              <w:rPr>
                <w:b/>
                <w:bCs/>
                <w:sz w:val="12"/>
                <w:szCs w:val="12"/>
              </w:rPr>
              <w:t>Seni V Normal</w:t>
            </w:r>
            <w:r>
              <w:rPr>
                <w:sz w:val="12"/>
                <w:szCs w:val="12"/>
              </w:rPr>
              <w:t xml:space="preserve"> lub produkt równoważny; dodatkowe zabezpeczenie do pieluchomajtek, przeznaczone dla osób ccewnikowanych, przy inkontynencji kałowej rozm. 32cm x 62,5cm</w:t>
            </w: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30</w:t>
            </w: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50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</w:tr>
      <w:tr>
        <w:trPr/>
        <w:tc>
          <w:tcPr>
            <w:tcW w:w="28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215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Razem</w:t>
            </w:r>
          </w:p>
        </w:tc>
        <w:tc>
          <w:tcPr>
            <w:tcW w:w="62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x</w:t>
            </w:r>
          </w:p>
        </w:tc>
        <w:tc>
          <w:tcPr>
            <w:tcW w:w="7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x</w:t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1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6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45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  <w:tc>
          <w:tcPr>
            <w:tcW w:w="5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</w:tr>
    </w:tbl>
    <w:p>
      <w:pPr>
        <w:pStyle w:val="Standard"/>
        <w:tabs>
          <w:tab w:val="clear" w:pos="708"/>
          <w:tab w:val="left" w:pos="3300" w:leader="none"/>
          <w:tab w:val="left" w:pos="3420" w:leader="none"/>
        </w:tabs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jc w:val="both"/>
        <w:rPr>
          <w:sz w:val="19"/>
          <w:szCs w:val="19"/>
        </w:rPr>
      </w:pPr>
      <w:r>
        <w:rPr>
          <w:sz w:val="19"/>
          <w:szCs w:val="19"/>
        </w:rPr>
        <w:t xml:space="preserve">Wszystkie produkty powinny zawierać:    </w:t>
        <w:tab/>
        <w:tab/>
        <w:tab/>
        <w:t>UWAGI: asortyment z poz. 8, 9, nie podlega refundacji NFZ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jc w:val="both"/>
        <w:rPr>
          <w:sz w:val="19"/>
          <w:szCs w:val="19"/>
        </w:rPr>
      </w:pPr>
      <w:r>
        <w:rPr>
          <w:sz w:val="19"/>
          <w:szCs w:val="19"/>
        </w:rPr>
        <w:t>materiał oddychający na całej powierzchni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jc w:val="both"/>
        <w:rPr>
          <w:sz w:val="19"/>
          <w:szCs w:val="19"/>
        </w:rPr>
      </w:pPr>
      <w:r>
        <w:rPr>
          <w:sz w:val="19"/>
          <w:szCs w:val="19"/>
        </w:rPr>
        <w:t>superabsorbent neutralizujący zapach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jc w:val="both"/>
        <w:rPr>
          <w:sz w:val="19"/>
          <w:szCs w:val="19"/>
        </w:rPr>
      </w:pPr>
      <w:r>
        <w:rPr>
          <w:sz w:val="19"/>
          <w:szCs w:val="19"/>
        </w:rPr>
        <w:t>zapięcia umożliwiające wielokrotne zapięcia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jc w:val="both"/>
        <w:rPr>
          <w:sz w:val="19"/>
          <w:szCs w:val="19"/>
        </w:rPr>
      </w:pPr>
      <w:r>
        <w:rPr>
          <w:sz w:val="19"/>
          <w:szCs w:val="19"/>
        </w:rPr>
        <w:t>wkład chłonny z warstwą  kierującą wilgoć do wewnątrz chroniący przed zawilgoceniem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jc w:val="both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jc w:val="both"/>
        <w:rPr>
          <w:sz w:val="19"/>
          <w:szCs w:val="19"/>
        </w:rPr>
      </w:pPr>
      <w:r>
        <w:rPr>
          <w:sz w:val="19"/>
          <w:szCs w:val="19"/>
        </w:rPr>
        <w:t>Razem: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jc w:val="both"/>
        <w:rPr>
          <w:sz w:val="19"/>
          <w:szCs w:val="19"/>
        </w:rPr>
      </w:pPr>
      <w:r>
        <w:rPr>
          <w:sz w:val="19"/>
          <w:szCs w:val="19"/>
        </w:rPr>
        <w:t>Cena netto: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jc w:val="both"/>
        <w:rPr>
          <w:sz w:val="19"/>
          <w:szCs w:val="19"/>
        </w:rPr>
      </w:pPr>
      <w:r>
        <w:rPr>
          <w:sz w:val="19"/>
          <w:szCs w:val="19"/>
        </w:rPr>
        <w:t>słownie: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jc w:val="both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jc w:val="both"/>
        <w:rPr>
          <w:sz w:val="19"/>
          <w:szCs w:val="19"/>
        </w:rPr>
      </w:pPr>
      <w:r>
        <w:rPr>
          <w:sz w:val="19"/>
          <w:szCs w:val="19"/>
        </w:rPr>
        <w:t>Podatek VAT: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jc w:val="both"/>
        <w:rPr>
          <w:sz w:val="19"/>
          <w:szCs w:val="19"/>
        </w:rPr>
      </w:pPr>
      <w:r>
        <w:rPr>
          <w:sz w:val="19"/>
          <w:szCs w:val="19"/>
        </w:rPr>
        <w:t>Cena brutto: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jc w:val="both"/>
        <w:rPr>
          <w:sz w:val="19"/>
          <w:szCs w:val="19"/>
        </w:rPr>
      </w:pPr>
      <w:r>
        <w:rPr>
          <w:sz w:val="19"/>
          <w:szCs w:val="19"/>
        </w:rPr>
        <w:t>słownie:</w:t>
      </w:r>
    </w:p>
    <w:p>
      <w:pPr>
        <w:pStyle w:val="Normal"/>
        <w:rPr/>
      </w:pPr>
      <w:r>
        <w:rPr/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załącznik nr 2  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</w:t>
      </w:r>
      <w:r>
        <w:rPr>
          <w:rFonts w:ascii="Times New Roman" w:hAnsi="Times New Roman"/>
          <w:sz w:val="20"/>
          <w:szCs w:val="20"/>
        </w:rPr>
        <w:t xml:space="preserve">.    </w:t>
        <w:tab/>
        <w:tab/>
        <w:tab/>
        <w:tab/>
        <w:tab/>
        <w:tab/>
        <w:tab/>
        <w:t xml:space="preserve">      Miejscowość, data………………..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pieczęć Wykonawcy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”</w:t>
      </w:r>
      <w:r>
        <w:rPr>
          <w:rFonts w:ascii="Times New Roman" w:hAnsi="Times New Roman"/>
          <w:sz w:val="20"/>
          <w:szCs w:val="20"/>
        </w:rPr>
        <w:t>Sukcesywna dostawa wyrobów pielęgnacyjno-higienicznych dla Domu Pomocy Społecznej ”Nasz Dom” w Mojęcicach”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tbl>
      <w:tblPr>
        <w:tblW w:w="9972" w:type="dxa"/>
        <w:jc w:val="left"/>
        <w:tblInd w:w="4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439"/>
        <w:gridCol w:w="449"/>
        <w:gridCol w:w="3478"/>
        <w:gridCol w:w="1075"/>
        <w:gridCol w:w="792"/>
        <w:gridCol w:w="908"/>
        <w:gridCol w:w="741"/>
        <w:gridCol w:w="578"/>
        <w:gridCol w:w="733"/>
        <w:gridCol w:w="778"/>
      </w:tblGrid>
      <w:tr>
        <w:trPr/>
        <w:tc>
          <w:tcPr>
            <w:tcW w:w="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44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71" w:after="171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Lp.</w:t>
            </w:r>
          </w:p>
        </w:tc>
        <w:tc>
          <w:tcPr>
            <w:tcW w:w="347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71" w:after="171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Nazwa produktu</w:t>
            </w:r>
          </w:p>
        </w:tc>
        <w:tc>
          <w:tcPr>
            <w:tcW w:w="107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57" w:after="57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Szacunkowa ilość szt/opak. </w:t>
            </w:r>
          </w:p>
        </w:tc>
        <w:tc>
          <w:tcPr>
            <w:tcW w:w="79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Cena jedn. netto</w:t>
            </w:r>
          </w:p>
        </w:tc>
        <w:tc>
          <w:tcPr>
            <w:tcW w:w="90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Cena jedn. brutto</w:t>
            </w:r>
          </w:p>
        </w:tc>
        <w:tc>
          <w:tcPr>
            <w:tcW w:w="74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Wartość Netto</w:t>
            </w:r>
          </w:p>
        </w:tc>
        <w:tc>
          <w:tcPr>
            <w:tcW w:w="57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VAT %</w:t>
            </w:r>
          </w:p>
        </w:tc>
        <w:tc>
          <w:tcPr>
            <w:tcW w:w="73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Wartość VAT</w:t>
            </w:r>
          </w:p>
        </w:tc>
        <w:tc>
          <w:tcPr>
            <w:tcW w:w="77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Wartość brutto</w:t>
            </w:r>
          </w:p>
        </w:tc>
      </w:tr>
      <w:tr>
        <w:trPr>
          <w:trHeight w:val="391" w:hRule="atLeast"/>
        </w:trPr>
        <w:tc>
          <w:tcPr>
            <w:tcW w:w="43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Lp.</w:t>
            </w:r>
          </w:p>
        </w:tc>
        <w:tc>
          <w:tcPr>
            <w:tcW w:w="449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3478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1075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792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908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741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578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733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  <w:tc>
          <w:tcPr>
            <w:tcW w:w="778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spacing w:before="0" w:after="160"/>
              <w:rPr/>
            </w:pPr>
            <w:r>
              <w:rPr/>
            </w:r>
          </w:p>
        </w:tc>
      </w:tr>
      <w:tr>
        <w:trPr>
          <w:trHeight w:val="284" w:hRule="atLeast"/>
        </w:trPr>
        <w:tc>
          <w:tcPr>
            <w:tcW w:w="43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44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347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a</w:t>
            </w:r>
          </w:p>
        </w:tc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b</w:t>
            </w:r>
          </w:p>
        </w:tc>
        <w:tc>
          <w:tcPr>
            <w:tcW w:w="9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c</w:t>
            </w:r>
          </w:p>
        </w:tc>
        <w:tc>
          <w:tcPr>
            <w:tcW w:w="7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d</w:t>
            </w:r>
          </w:p>
        </w:tc>
        <w:tc>
          <w:tcPr>
            <w:tcW w:w="57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e</w:t>
            </w:r>
          </w:p>
        </w:tc>
        <w:tc>
          <w:tcPr>
            <w:tcW w:w="73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f</w:t>
            </w:r>
          </w:p>
        </w:tc>
        <w:tc>
          <w:tcPr>
            <w:tcW w:w="7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g</w:t>
            </w:r>
          </w:p>
        </w:tc>
      </w:tr>
      <w:tr>
        <w:trPr/>
        <w:tc>
          <w:tcPr>
            <w:tcW w:w="43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</w:t>
            </w:r>
          </w:p>
        </w:tc>
        <w:tc>
          <w:tcPr>
            <w:tcW w:w="44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</w:t>
            </w:r>
          </w:p>
        </w:tc>
        <w:tc>
          <w:tcPr>
            <w:tcW w:w="347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Chusteczki pielęgnacyjne, nawilżane pH 5,5, oczyszczające skórę, pomagające w utrzymaniu codziennej higieny przy pielęgnacji osób starszych, min 80 szt/opak</w:t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90</w:t>
            </w:r>
          </w:p>
        </w:tc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9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7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57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23%</w:t>
            </w:r>
          </w:p>
        </w:tc>
        <w:tc>
          <w:tcPr>
            <w:tcW w:w="73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7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</w:tr>
      <w:tr>
        <w:trPr/>
        <w:tc>
          <w:tcPr>
            <w:tcW w:w="43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</w:t>
            </w:r>
          </w:p>
        </w:tc>
        <w:tc>
          <w:tcPr>
            <w:tcW w:w="44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</w:t>
            </w:r>
          </w:p>
        </w:tc>
        <w:tc>
          <w:tcPr>
            <w:tcW w:w="347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Myjki higieniczne, niepodfoliowane, jednorazowe, do oczyszczania skóry podopiecznego przy użyciu wody, stosowane do ochrony dłoni osoby pielęgnującej, opak. min. 50 szt</w:t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144</w:t>
            </w:r>
          </w:p>
        </w:tc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9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7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57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23%</w:t>
            </w:r>
          </w:p>
        </w:tc>
        <w:tc>
          <w:tcPr>
            <w:tcW w:w="73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7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</w:tr>
      <w:tr>
        <w:trPr/>
        <w:tc>
          <w:tcPr>
            <w:tcW w:w="43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3</w:t>
            </w:r>
          </w:p>
        </w:tc>
        <w:tc>
          <w:tcPr>
            <w:tcW w:w="44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3</w:t>
            </w:r>
          </w:p>
        </w:tc>
        <w:tc>
          <w:tcPr>
            <w:tcW w:w="347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Śliniaki higieniczne dla dorosłych, podfoliowane, z bibuły celulozowej jedn. użytku, wym. min. 60 cm x 40 cm, w opak. 100 szt.</w:t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7</w:t>
            </w:r>
          </w:p>
        </w:tc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9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7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57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8%</w:t>
            </w:r>
          </w:p>
        </w:tc>
        <w:tc>
          <w:tcPr>
            <w:tcW w:w="73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7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</w:tr>
      <w:tr>
        <w:trPr/>
        <w:tc>
          <w:tcPr>
            <w:tcW w:w="43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4</w:t>
            </w:r>
          </w:p>
        </w:tc>
        <w:tc>
          <w:tcPr>
            <w:tcW w:w="44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4</w:t>
            </w:r>
          </w:p>
        </w:tc>
        <w:tc>
          <w:tcPr>
            <w:tcW w:w="347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Pianka myjąca I pielęgnująca, do użycia bez wody I mydła, bez konieczności spłukiwania, stosowana w celu utrzymania codziennej higieny osób z nietrzymaniem moczu/kału, w tym do oczyszczania okolic intymnych, łagodząca podrażnienia, o właściwościach nawilżających, w aerozolu, min. 500 ml.</w:t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36</w:t>
            </w:r>
          </w:p>
        </w:tc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9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7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57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23%</w:t>
            </w:r>
          </w:p>
        </w:tc>
        <w:tc>
          <w:tcPr>
            <w:tcW w:w="73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7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</w:tr>
      <w:tr>
        <w:trPr/>
        <w:tc>
          <w:tcPr>
            <w:tcW w:w="43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5</w:t>
            </w:r>
          </w:p>
        </w:tc>
        <w:tc>
          <w:tcPr>
            <w:tcW w:w="44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5</w:t>
            </w:r>
          </w:p>
        </w:tc>
        <w:tc>
          <w:tcPr>
            <w:tcW w:w="347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Emulsja/balsam do ciała, intensywnie nawilżający, zmiękczający wysuszony naskórek w tym z powodu długotrwałego unieruchomienia, wygładzający, łagodzący podrażnienia, do skóry wrażliwej, poj. 500 ml, z pompką</w:t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12</w:t>
            </w:r>
          </w:p>
        </w:tc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9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7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57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23%</w:t>
            </w:r>
          </w:p>
        </w:tc>
        <w:tc>
          <w:tcPr>
            <w:tcW w:w="73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7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</w:tr>
      <w:tr>
        <w:trPr/>
        <w:tc>
          <w:tcPr>
            <w:tcW w:w="43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6</w:t>
            </w:r>
          </w:p>
        </w:tc>
        <w:tc>
          <w:tcPr>
            <w:tcW w:w="44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6</w:t>
            </w:r>
          </w:p>
        </w:tc>
        <w:tc>
          <w:tcPr>
            <w:tcW w:w="347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Krem ochronny, chroniący skórę przed powstawaniem stanów zapalnych, odparzeń, odleżyn, przyśpieszający regeneracje podrażnionej skóry, poj. min.200 ml</w:t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12</w:t>
            </w:r>
          </w:p>
        </w:tc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9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7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57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23%</w:t>
            </w:r>
          </w:p>
        </w:tc>
        <w:tc>
          <w:tcPr>
            <w:tcW w:w="73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7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</w:tr>
      <w:tr>
        <w:trPr/>
        <w:tc>
          <w:tcPr>
            <w:tcW w:w="43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7</w:t>
            </w:r>
          </w:p>
        </w:tc>
        <w:tc>
          <w:tcPr>
            <w:tcW w:w="44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7</w:t>
            </w:r>
          </w:p>
        </w:tc>
        <w:tc>
          <w:tcPr>
            <w:tcW w:w="347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Podkłady higieniczne, jednorazowego użytku, chroniące przed zabrudzaniem/zawilgoceniem materac/pościel, zastosowanie:przy pielęgnacji pacjentów obłożnie chorych, osób z problemami nietrzymania moczu, wkład chłonny z pulpy celulozowej o chłonności min. 200 ml, z antypoślizgową folią/zabezpieczeniem przed przemieszczaniem się podkładu na materacu, wym: 90x60, w opak min. 30 szt.</w:t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60</w:t>
            </w:r>
          </w:p>
        </w:tc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9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7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57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8%</w:t>
            </w:r>
          </w:p>
        </w:tc>
        <w:tc>
          <w:tcPr>
            <w:tcW w:w="73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7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</w:tr>
      <w:tr>
        <w:trPr/>
        <w:tc>
          <w:tcPr>
            <w:tcW w:w="43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44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347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Razem</w:t>
            </w:r>
          </w:p>
        </w:tc>
        <w:tc>
          <w:tcPr>
            <w:tcW w:w="107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79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90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7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578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73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  <w:tc>
          <w:tcPr>
            <w:tcW w:w="7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spacing w:before="114" w:after="114"/>
              <w:jc w:val="center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</w:r>
          </w:p>
        </w:tc>
      </w:tr>
    </w:tbl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  <w:t>Razem: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Cena netto: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Słownie: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Podatek VAT: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Cena brutto:</w:t>
      </w:r>
    </w:p>
    <w:p>
      <w:pPr>
        <w:pStyle w:val="Standard"/>
        <w:tabs>
          <w:tab w:val="clear" w:pos="708"/>
          <w:tab w:val="left" w:pos="3300" w:leader="none"/>
          <w:tab w:val="left" w:pos="3420" w:leader="none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Słownie: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widowControl w:val="false"/>
        <w:suppressAutoHyphens w:val="true"/>
        <w:spacing w:lineRule="auto" w:line="240" w:before="0" w:after="0"/>
        <w:jc w:val="center"/>
        <w:textAlignment w:val="baseline"/>
        <w:rPr>
          <w:rFonts w:ascii="Times New Roman" w:hAnsi="Times New Roman" w:eastAsia="Andale Sans UI" w:cs="Tahoma"/>
          <w:kern w:val="2"/>
          <w:sz w:val="18"/>
          <w:szCs w:val="18"/>
          <w:lang w:bidi="en-US"/>
        </w:rPr>
      </w:pPr>
      <w:r>
        <w:rPr>
          <w:rFonts w:eastAsia="Andale Sans UI" w:cs="Tahoma" w:ascii="Times New Roman" w:hAnsi="Times New Roman"/>
          <w:kern w:val="2"/>
          <w:sz w:val="18"/>
          <w:szCs w:val="18"/>
          <w:lang w:bidi="en-US"/>
        </w:rPr>
      </w:r>
    </w:p>
    <w:p>
      <w:pPr>
        <w:pStyle w:val="Normal"/>
        <w:widowControl w:val="false"/>
        <w:suppressAutoHyphens w:val="true"/>
        <w:spacing w:lineRule="auto" w:line="240" w:before="0" w:after="0"/>
        <w:jc w:val="center"/>
        <w:textAlignment w:val="baseline"/>
        <w:rPr>
          <w:rFonts w:ascii="Times New Roman" w:hAnsi="Times New Roman" w:eastAsia="Andale Sans UI" w:cs="Tahoma"/>
          <w:kern w:val="2"/>
          <w:sz w:val="18"/>
          <w:szCs w:val="18"/>
          <w:lang w:bidi="en-US"/>
        </w:rPr>
      </w:pPr>
      <w:r>
        <w:rPr>
          <w:rFonts w:eastAsia="Andale Sans UI" w:cs="Tahoma" w:ascii="Times New Roman" w:hAnsi="Times New Roman"/>
          <w:kern w:val="2"/>
          <w:sz w:val="18"/>
          <w:szCs w:val="18"/>
          <w:lang w:bidi="en-US"/>
        </w:rPr>
      </w:r>
    </w:p>
    <w:p>
      <w:pPr>
        <w:pStyle w:val="Normal"/>
        <w:widowControl w:val="false"/>
        <w:suppressAutoHyphens w:val="true"/>
        <w:spacing w:lineRule="auto" w:line="240" w:before="0" w:after="0"/>
        <w:textAlignment w:val="baseline"/>
        <w:rPr>
          <w:rFonts w:ascii="Times New Roman" w:hAnsi="Times New Roman" w:eastAsia="Andale Sans UI" w:cs="Tahoma"/>
          <w:vanish/>
          <w:kern w:val="2"/>
          <w:sz w:val="24"/>
          <w:szCs w:val="24"/>
          <w:lang w:bidi="en-US"/>
        </w:rPr>
      </w:pPr>
      <w:r>
        <w:rPr>
          <w:rFonts w:eastAsia="Andale Sans UI" w:cs="Tahoma" w:ascii="Times New Roman" w:hAnsi="Times New Roman"/>
          <w:vanish/>
          <w:kern w:val="2"/>
          <w:sz w:val="24"/>
          <w:szCs w:val="24"/>
          <w:lang w:bidi="en-US"/>
        </w:rPr>
      </w:r>
    </w:p>
    <w:p>
      <w:pPr>
        <w:pStyle w:val="Normal"/>
        <w:widowControl w:val="false"/>
        <w:suppressAutoHyphens w:val="true"/>
        <w:spacing w:lineRule="auto" w:line="240" w:before="0" w:after="0"/>
        <w:textAlignment w:val="baseline"/>
        <w:rPr>
          <w:rFonts w:ascii="Times New Roman" w:hAnsi="Times New Roman" w:eastAsia="Andale Sans UI" w:cs="Tahoma"/>
          <w:vanish/>
          <w:kern w:val="2"/>
          <w:sz w:val="24"/>
          <w:szCs w:val="24"/>
          <w:lang w:bidi="en-US"/>
        </w:rPr>
      </w:pPr>
      <w:r>
        <w:rPr>
          <w:rFonts w:eastAsia="Andale Sans UI" w:cs="Tahoma" w:ascii="Times New Roman" w:hAnsi="Times New Roman"/>
          <w:vanish/>
          <w:kern w:val="2"/>
          <w:sz w:val="24"/>
          <w:szCs w:val="24"/>
          <w:lang w:bidi="en-US"/>
        </w:rPr>
      </w:r>
    </w:p>
    <w:p>
      <w:pPr>
        <w:pStyle w:val="Normal"/>
        <w:widowControl w:val="false"/>
        <w:suppressAutoHyphens w:val="true"/>
        <w:spacing w:lineRule="auto" w:line="240" w:before="0" w:after="0"/>
        <w:jc w:val="center"/>
        <w:textAlignment w:val="baseline"/>
        <w:rPr>
          <w:rFonts w:ascii="Times New Roman" w:hAnsi="Times New Roman" w:eastAsia="Andale Sans UI" w:cs="Tahoma"/>
          <w:kern w:val="2"/>
          <w:sz w:val="18"/>
          <w:szCs w:val="18"/>
          <w:lang w:bidi="en-US"/>
        </w:rPr>
      </w:pPr>
      <w:r>
        <w:rPr>
          <w:rFonts w:eastAsia="Andale Sans UI" w:cs="Tahoma" w:ascii="Times New Roman" w:hAnsi="Times New Roman"/>
          <w:kern w:val="2"/>
          <w:sz w:val="18"/>
          <w:szCs w:val="18"/>
          <w:lang w:bidi="en-US"/>
        </w:rPr>
      </w:r>
    </w:p>
    <w:p>
      <w:pPr>
        <w:pStyle w:val="Normal"/>
        <w:widowControl w:val="false"/>
        <w:suppressAutoHyphens w:val="true"/>
        <w:spacing w:lineRule="auto" w:line="240" w:before="0" w:after="0"/>
        <w:jc w:val="center"/>
        <w:textAlignment w:val="baseline"/>
        <w:rPr>
          <w:rFonts w:ascii="Times New Roman" w:hAnsi="Times New Roman" w:eastAsia="Andale Sans UI" w:cs="Tahoma"/>
          <w:kern w:val="2"/>
          <w:sz w:val="18"/>
          <w:szCs w:val="18"/>
          <w:lang w:bidi="en-US"/>
        </w:rPr>
      </w:pPr>
      <w:r>
        <w:rPr>
          <w:rFonts w:eastAsia="Andale Sans UI" w:cs="Tahoma" w:ascii="Times New Roman" w:hAnsi="Times New Roman"/>
          <w:kern w:val="2"/>
          <w:sz w:val="18"/>
          <w:szCs w:val="18"/>
          <w:lang w:bidi="en-US"/>
        </w:rPr>
      </w:r>
    </w:p>
    <w:p>
      <w:pPr>
        <w:pStyle w:val="Normal"/>
        <w:widowControl w:val="false"/>
        <w:suppressAutoHyphens w:val="true"/>
        <w:spacing w:lineRule="auto" w:line="240" w:before="0" w:after="0"/>
        <w:textAlignment w:val="baseline"/>
        <w:rPr>
          <w:rFonts w:ascii="Times New Roman" w:hAnsi="Times New Roman" w:eastAsia="Andale Sans UI" w:cs="Tahoma"/>
          <w:kern w:val="2"/>
          <w:sz w:val="18"/>
          <w:szCs w:val="18"/>
          <w:lang w:bidi="en-US"/>
        </w:rPr>
      </w:pPr>
      <w:r>
        <w:rPr>
          <w:rFonts w:eastAsia="Andale Sans UI" w:cs="Tahoma" w:ascii="Times New Roman" w:hAnsi="Times New Roman"/>
          <w:kern w:val="2"/>
          <w:sz w:val="18"/>
          <w:szCs w:val="18"/>
          <w:lang w:bidi="en-US"/>
        </w:rPr>
      </w:r>
    </w:p>
    <w:p>
      <w:pPr>
        <w:pStyle w:val="Normal"/>
        <w:widowControl w:val="false"/>
        <w:suppressAutoHyphens w:val="true"/>
        <w:spacing w:lineRule="auto" w:line="240" w:before="0" w:after="0"/>
        <w:textAlignment w:val="baseline"/>
        <w:rPr>
          <w:rFonts w:ascii="Times New Roman" w:hAnsi="Times New Roman" w:eastAsia="Andale Sans UI" w:cs="Tahoma"/>
          <w:kern w:val="2"/>
          <w:sz w:val="18"/>
          <w:szCs w:val="18"/>
          <w:lang w:bidi="en-US"/>
        </w:rPr>
      </w:pPr>
      <w:r>
        <w:rPr>
          <w:rFonts w:eastAsia="Andale Sans UI" w:cs="Tahoma" w:ascii="Times New Roman" w:hAnsi="Times New Roman"/>
          <w:kern w:val="2"/>
          <w:sz w:val="18"/>
          <w:szCs w:val="18"/>
          <w:lang w:bidi="en-US"/>
        </w:rPr>
      </w:r>
    </w:p>
    <w:p>
      <w:pPr>
        <w:pStyle w:val="Normal"/>
        <w:widowControl w:val="false"/>
        <w:suppressAutoHyphens w:val="true"/>
        <w:spacing w:lineRule="auto" w:line="240" w:before="0" w:after="0"/>
        <w:textAlignment w:val="baseline"/>
        <w:rPr>
          <w:rFonts w:ascii="Times New Roman" w:hAnsi="Times New Roman" w:eastAsia="Andale Sans UI" w:cs="Tahoma"/>
          <w:kern w:val="2"/>
          <w:sz w:val="18"/>
          <w:szCs w:val="18"/>
          <w:lang w:bidi="en-US"/>
        </w:rPr>
      </w:pPr>
      <w:r>
        <w:rPr>
          <w:rFonts w:eastAsia="Andale Sans UI" w:cs="Tahoma" w:ascii="Times New Roman" w:hAnsi="Times New Roman"/>
          <w:kern w:val="2"/>
          <w:sz w:val="18"/>
          <w:szCs w:val="18"/>
          <w:lang w:bidi="en-US"/>
        </w:rPr>
      </w:r>
    </w:p>
    <w:p>
      <w:pPr>
        <w:pStyle w:val="Normal"/>
        <w:widowControl w:val="false"/>
        <w:suppressAutoHyphens w:val="true"/>
        <w:spacing w:lineRule="auto" w:line="240" w:before="0" w:after="0"/>
        <w:textAlignment w:val="baseline"/>
        <w:rPr>
          <w:rFonts w:ascii="Times New Roman" w:hAnsi="Times New Roman" w:eastAsia="Andale Sans UI" w:cs="Tahoma"/>
          <w:kern w:val="2"/>
          <w:sz w:val="18"/>
          <w:szCs w:val="18"/>
          <w:lang w:bidi="en-US"/>
        </w:rPr>
      </w:pPr>
      <w:r>
        <w:rPr>
          <w:rFonts w:eastAsia="Andale Sans UI" w:cs="Tahoma" w:ascii="Times New Roman" w:hAnsi="Times New Roman"/>
          <w:kern w:val="2"/>
          <w:sz w:val="18"/>
          <w:szCs w:val="18"/>
          <w:lang w:bidi="en-US"/>
        </w:rPr>
      </w:r>
    </w:p>
    <w:p>
      <w:pPr>
        <w:pStyle w:val="Normal"/>
        <w:widowControl w:val="false"/>
        <w:suppressAutoHyphens w:val="true"/>
        <w:spacing w:lineRule="auto" w:line="240" w:before="0" w:after="0"/>
        <w:textAlignment w:val="baseline"/>
        <w:rPr>
          <w:rFonts w:ascii="Times New Roman" w:hAnsi="Times New Roman" w:eastAsia="Andale Sans UI" w:cs="Tahoma"/>
          <w:kern w:val="2"/>
          <w:sz w:val="18"/>
          <w:szCs w:val="18"/>
          <w:lang w:bidi="en-US"/>
        </w:rPr>
      </w:pPr>
      <w:r>
        <w:rPr>
          <w:rFonts w:eastAsia="Andale Sans UI" w:cs="Tahoma" w:ascii="Times New Roman" w:hAnsi="Times New Roman"/>
          <w:kern w:val="2"/>
          <w:sz w:val="18"/>
          <w:szCs w:val="18"/>
          <w:lang w:bidi="en-US"/>
        </w:rPr>
      </w:r>
    </w:p>
    <w:p>
      <w:pPr>
        <w:pStyle w:val="Normal"/>
        <w:widowControl w:val="false"/>
        <w:suppressAutoHyphens w:val="true"/>
        <w:spacing w:lineRule="auto" w:line="240" w:before="0" w:after="0"/>
        <w:textAlignment w:val="baseline"/>
        <w:rPr>
          <w:rFonts w:ascii="Times New Roman" w:hAnsi="Times New Roman" w:eastAsia="Andale Sans UI" w:cs="Tahoma"/>
          <w:kern w:val="2"/>
          <w:sz w:val="18"/>
          <w:szCs w:val="18"/>
          <w:lang w:bidi="en-US"/>
        </w:rPr>
      </w:pPr>
      <w:r>
        <w:rPr>
          <w:rFonts w:eastAsia="Andale Sans UI" w:cs="Tahoma" w:ascii="Times New Roman" w:hAnsi="Times New Roman"/>
          <w:kern w:val="2"/>
          <w:sz w:val="18"/>
          <w:szCs w:val="18"/>
          <w:lang w:bidi="en-US"/>
        </w:rPr>
      </w:r>
    </w:p>
    <w:p>
      <w:pPr>
        <w:pStyle w:val="Normal"/>
        <w:widowControl w:val="false"/>
        <w:suppressAutoHyphens w:val="true"/>
        <w:spacing w:lineRule="auto" w:line="240" w:before="0" w:after="0"/>
        <w:textAlignment w:val="baseline"/>
        <w:rPr>
          <w:rFonts w:ascii="Times New Roman" w:hAnsi="Times New Roman" w:eastAsia="Andale Sans UI" w:cs="Tahoma"/>
          <w:kern w:val="2"/>
          <w:sz w:val="18"/>
          <w:szCs w:val="18"/>
          <w:lang w:bidi="en-US"/>
        </w:rPr>
      </w:pPr>
      <w:r>
        <w:rPr>
          <w:rFonts w:eastAsia="Andale Sans UI" w:cs="Tahoma" w:ascii="Times New Roman" w:hAnsi="Times New Roman"/>
          <w:kern w:val="2"/>
          <w:sz w:val="18"/>
          <w:szCs w:val="18"/>
          <w:lang w:bidi="en-US"/>
        </w:rPr>
      </w:r>
    </w:p>
    <w:p>
      <w:pPr>
        <w:pStyle w:val="Normal"/>
        <w:widowControl w:val="false"/>
        <w:suppressAutoHyphens w:val="true"/>
        <w:spacing w:lineRule="auto" w:line="240" w:before="0" w:after="0"/>
        <w:textAlignment w:val="baseline"/>
        <w:rPr>
          <w:rFonts w:ascii="Times New Roman" w:hAnsi="Times New Roman" w:eastAsia="Andale Sans UI" w:cs="Tahoma"/>
          <w:kern w:val="2"/>
          <w:sz w:val="18"/>
          <w:szCs w:val="18"/>
          <w:lang w:bidi="en-US"/>
        </w:rPr>
      </w:pPr>
      <w:r>
        <w:rPr>
          <w:rFonts w:eastAsia="Andale Sans UI" w:cs="Tahoma" w:ascii="Times New Roman" w:hAnsi="Times New Roman"/>
          <w:kern w:val="2"/>
          <w:sz w:val="18"/>
          <w:szCs w:val="18"/>
          <w:lang w:bidi="en-US"/>
        </w:rPr>
      </w:r>
    </w:p>
    <w:p>
      <w:pPr>
        <w:pStyle w:val="Normal"/>
        <w:widowControl w:val="false"/>
        <w:suppressAutoHyphens w:val="true"/>
        <w:spacing w:lineRule="auto" w:line="240" w:before="0" w:after="0"/>
        <w:textAlignment w:val="baseline"/>
        <w:rPr>
          <w:rFonts w:ascii="Times New Roman" w:hAnsi="Times New Roman" w:eastAsia="Andale Sans UI" w:cs="Tahoma"/>
          <w:kern w:val="2"/>
          <w:sz w:val="18"/>
          <w:szCs w:val="18"/>
          <w:lang w:bidi="en-US"/>
        </w:rPr>
      </w:pPr>
      <w:r>
        <w:rPr>
          <w:rFonts w:eastAsia="Andale Sans UI" w:cs="Tahoma" w:ascii="Times New Roman" w:hAnsi="Times New Roman"/>
          <w:kern w:val="2"/>
          <w:sz w:val="18"/>
          <w:szCs w:val="18"/>
          <w:lang w:bidi="en-US"/>
        </w:rPr>
      </w:r>
    </w:p>
    <w:p>
      <w:pPr>
        <w:pStyle w:val="Normal"/>
        <w:widowControl w:val="false"/>
        <w:suppressAutoHyphens w:val="true"/>
        <w:spacing w:lineRule="auto" w:line="240" w:before="0" w:after="0"/>
        <w:textAlignment w:val="baseline"/>
        <w:rPr>
          <w:rFonts w:ascii="Times New Roman" w:hAnsi="Times New Roman" w:eastAsia="Andale Sans UI" w:cs="Tahoma"/>
          <w:kern w:val="2"/>
          <w:sz w:val="18"/>
          <w:szCs w:val="18"/>
          <w:lang w:bidi="en-US"/>
        </w:rPr>
      </w:pPr>
      <w:r>
        <w:rPr>
          <w:rFonts w:eastAsia="Andale Sans UI" w:cs="Tahoma" w:ascii="Times New Roman" w:hAnsi="Times New Roman"/>
          <w:kern w:val="2"/>
          <w:sz w:val="18"/>
          <w:szCs w:val="18"/>
          <w:lang w:bidi="en-US"/>
        </w:rPr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roman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nakinumeracji" w:customStyle="1">
    <w:name w:val="Znaki numeracji"/>
    <w:qFormat/>
    <w:rsid w:val="00373a54"/>
    <w:rPr/>
  </w:style>
  <w:style w:type="character" w:styleId="Mocnewyrnione">
    <w:name w:val="Mocne wyróżnione"/>
    <w:qFormat/>
    <w:rPr>
      <w:b/>
      <w:bCs/>
    </w:rPr>
  </w:style>
  <w:style w:type="paragraph" w:styleId="Nagwek" w:customStyle="1">
    <w:name w:val="Nagłówek"/>
    <w:basedOn w:val="Standard"/>
    <w:next w:val="Textbody"/>
    <w:qFormat/>
    <w:rsid w:val="00373a54"/>
    <w:pPr>
      <w:keepNext w:val="true"/>
      <w:spacing w:before="240" w:after="120"/>
    </w:pPr>
    <w:rPr>
      <w:rFonts w:ascii="Arial" w:hAnsi="Arial" w:eastAsia="Andale Sans UI" w:cs="Tahoma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extbody"/>
    <w:rsid w:val="00373a54"/>
    <w:pPr/>
    <w:rPr>
      <w:rFonts w:cs="Tahoma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Standard"/>
    <w:qFormat/>
    <w:rsid w:val="00373a54"/>
    <w:pPr>
      <w:suppressLineNumbers/>
    </w:pPr>
    <w:rPr>
      <w:rFonts w:cs="Tahoma"/>
    </w:rPr>
  </w:style>
  <w:style w:type="paragraph" w:styleId="Standard" w:customStyle="1">
    <w:name w:val="Standard"/>
    <w:qFormat/>
    <w:rsid w:val="00373a54"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Liberation Serif" w:hAnsi="Liberation Serif" w:eastAsia="SimSun" w:cs="Arial"/>
      <w:color w:val="auto"/>
      <w:kern w:val="2"/>
      <w:sz w:val="24"/>
      <w:szCs w:val="24"/>
      <w:lang w:val="pl-PL" w:eastAsia="zh-CN" w:bidi="hi-IN"/>
    </w:rPr>
  </w:style>
  <w:style w:type="paragraph" w:styleId="Textbody" w:customStyle="1">
    <w:name w:val="Text body"/>
    <w:basedOn w:val="Standard"/>
    <w:qFormat/>
    <w:rsid w:val="00373a54"/>
    <w:pPr>
      <w:spacing w:before="0" w:after="120"/>
    </w:pPr>
    <w:rPr/>
  </w:style>
  <w:style w:type="paragraph" w:styleId="Caption">
    <w:name w:val="caption"/>
    <w:basedOn w:val="Standard"/>
    <w:qFormat/>
    <w:rsid w:val="00373a54"/>
    <w:pPr>
      <w:suppressLineNumbers/>
      <w:spacing w:before="120" w:after="120"/>
    </w:pPr>
    <w:rPr>
      <w:rFonts w:cs="Tahoma"/>
      <w:i/>
      <w:iCs/>
    </w:rPr>
  </w:style>
  <w:style w:type="paragraph" w:styleId="Zawartotabeli" w:customStyle="1">
    <w:name w:val="Zawartość tabeli"/>
    <w:basedOn w:val="Standard"/>
    <w:qFormat/>
    <w:rsid w:val="00373a54"/>
    <w:pPr>
      <w:suppressLineNumbers/>
    </w:pPr>
    <w:rPr/>
  </w:style>
  <w:style w:type="paragraph" w:styleId="Nagwektabeli" w:customStyle="1">
    <w:name w:val="Nagłówek tabeli"/>
    <w:basedOn w:val="Zawartotabeli"/>
    <w:qFormat/>
    <w:rsid w:val="00373a54"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numbering" w:styleId="Bezlisty1" w:customStyle="1">
    <w:name w:val="Bez listy1"/>
    <w:uiPriority w:val="99"/>
    <w:semiHidden/>
    <w:unhideWhenUsed/>
    <w:qFormat/>
    <w:rsid w:val="00373a54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Application>LibreOffice/7.1.5.2$Windows_X86_64 LibreOffice_project/85f04e9f809797b8199d13c421bd8a2b025d52b5</Application>
  <AppVersion>15.0000</AppVersion>
  <Pages>3</Pages>
  <Words>680</Words>
  <Characters>4114</Characters>
  <CharactersWithSpaces>4698</CharactersWithSpaces>
  <Paragraphs>157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2021-12-15T16:37:00Z</dcterms:created>
  <dc:creator>Dom Mojecice</dc:creator>
  <dc:description/>
  <dc:language>pl-PL</dc:language>
  <cp:lastModifiedBy/>
  <dcterms:modified xsi:type="dcterms:W3CDTF">2025-12-29T09:14:12Z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